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5E" w:rsidRPr="008943EB" w:rsidRDefault="00E0385E" w:rsidP="00E0385E">
      <w:pPr>
        <w:pStyle w:val="a5"/>
        <w:widowControl w:val="0"/>
        <w:spacing w:line="240" w:lineRule="exact"/>
        <w:ind w:left="5812"/>
        <w:jc w:val="center"/>
      </w:pPr>
      <w:r w:rsidRPr="008943EB">
        <w:t>Приложение</w:t>
      </w:r>
    </w:p>
    <w:p w:rsidR="00E0385E" w:rsidRDefault="00E0385E" w:rsidP="00E0385E">
      <w:pPr>
        <w:pStyle w:val="a3"/>
        <w:widowControl w:val="0"/>
        <w:spacing w:line="240" w:lineRule="exact"/>
        <w:ind w:left="5812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E0385E" w:rsidRPr="008943EB" w:rsidRDefault="00E0385E" w:rsidP="00E0385E">
      <w:pPr>
        <w:pStyle w:val="a3"/>
        <w:widowControl w:val="0"/>
        <w:spacing w:line="240" w:lineRule="exact"/>
        <w:ind w:left="5812"/>
        <w:rPr>
          <w:b w:val="0"/>
          <w:sz w:val="24"/>
        </w:rPr>
      </w:pPr>
      <w:r w:rsidRPr="008943EB">
        <w:rPr>
          <w:b w:val="0"/>
          <w:sz w:val="24"/>
        </w:rPr>
        <w:t>постановлени</w:t>
      </w:r>
      <w:r>
        <w:rPr>
          <w:b w:val="0"/>
          <w:sz w:val="24"/>
        </w:rPr>
        <w:t>ем</w:t>
      </w:r>
      <w:r w:rsidRPr="008943EB">
        <w:rPr>
          <w:b w:val="0"/>
          <w:sz w:val="24"/>
        </w:rPr>
        <w:t xml:space="preserve"> Избирательной комиссии Новгородской области от 1</w:t>
      </w:r>
      <w:r>
        <w:rPr>
          <w:b w:val="0"/>
          <w:sz w:val="24"/>
        </w:rPr>
        <w:t>5.07.2024 № 78/8-7</w:t>
      </w:r>
    </w:p>
    <w:p w:rsidR="00E0385E" w:rsidRDefault="00E0385E" w:rsidP="00E0385E">
      <w:pPr>
        <w:shd w:val="clear" w:color="auto" w:fill="FFFFFF"/>
        <w:jc w:val="center"/>
        <w:rPr>
          <w:b/>
          <w:sz w:val="28"/>
          <w:szCs w:val="28"/>
        </w:rPr>
      </w:pPr>
    </w:p>
    <w:p w:rsidR="00E0385E" w:rsidRDefault="00E0385E" w:rsidP="00E0385E">
      <w:pPr>
        <w:shd w:val="clear" w:color="auto" w:fill="FFFFFF"/>
        <w:jc w:val="center"/>
        <w:rPr>
          <w:b/>
          <w:sz w:val="28"/>
          <w:szCs w:val="28"/>
        </w:rPr>
      </w:pPr>
    </w:p>
    <w:p w:rsidR="00E0385E" w:rsidRPr="003A3A3C" w:rsidRDefault="00E0385E" w:rsidP="00E0385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Pr="003A3A3C">
        <w:rPr>
          <w:rFonts w:ascii="Times New Roman" w:hAnsi="Times New Roman" w:cs="Times New Roman"/>
          <w:b/>
          <w:sz w:val="28"/>
          <w:szCs w:val="28"/>
        </w:rPr>
        <w:br/>
        <w:t xml:space="preserve">о сборе предложений </w:t>
      </w:r>
      <w:r w:rsidRPr="003A3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дополнительного зачисления</w:t>
      </w:r>
      <w:r w:rsidRPr="003A3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резерв </w:t>
      </w:r>
      <w:r w:rsidRPr="003A3A3C">
        <w:rPr>
          <w:rFonts w:ascii="Times New Roman" w:hAnsi="Times New Roman" w:cs="Times New Roman"/>
          <w:b/>
          <w:sz w:val="28"/>
          <w:szCs w:val="28"/>
        </w:rPr>
        <w:t>составов участковых комиссий Новгородской области</w:t>
      </w:r>
    </w:p>
    <w:p w:rsidR="00E0385E" w:rsidRPr="00DC5AA5" w:rsidRDefault="00E0385E" w:rsidP="00E03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0385E" w:rsidRPr="00DC5AA5" w:rsidRDefault="00E0385E" w:rsidP="00E0385E">
      <w:pPr>
        <w:pStyle w:val="ConsPlusNormal"/>
        <w:widowControl/>
        <w:spacing w:line="40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пунктом 10 статьи 23 Федерального закона от 12 </w:t>
      </w:r>
      <w:r w:rsidRPr="00DC5AA5">
        <w:rPr>
          <w:rFonts w:ascii="Times New Roman" w:hAnsi="Times New Roman" w:cs="Times New Roman"/>
          <w:sz w:val="28"/>
          <w:szCs w:val="28"/>
        </w:rPr>
        <w:t>июня 2002 года № 67-ФЗ</w:t>
      </w:r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 № 67-ФЗ), </w:t>
      </w:r>
      <w:r w:rsidRPr="00DC5AA5">
        <w:rPr>
          <w:rFonts w:ascii="Times New Roman" w:hAnsi="Times New Roman" w:cs="Times New Roman"/>
          <w:sz w:val="28"/>
          <w:szCs w:val="28"/>
        </w:rPr>
        <w:t>пунктами 8, 1</w:t>
      </w:r>
      <w:r>
        <w:rPr>
          <w:rFonts w:ascii="Times New Roman" w:hAnsi="Times New Roman" w:cs="Times New Roman"/>
          <w:sz w:val="28"/>
          <w:szCs w:val="28"/>
        </w:rPr>
        <w:t>2, 14</w:t>
      </w:r>
      <w:r w:rsidRPr="00DC5AA5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7, 21</w:t>
      </w:r>
      <w:r w:rsidRPr="00DC5AA5">
        <w:rPr>
          <w:rFonts w:ascii="Times New Roman" w:hAnsi="Times New Roman" w:cs="Times New Roman"/>
          <w:sz w:val="28"/>
          <w:szCs w:val="28"/>
        </w:rPr>
        <w:t xml:space="preserve"> </w:t>
      </w:r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</w:t>
      </w:r>
      <w:r w:rsidRPr="00DC5AA5">
        <w:rPr>
          <w:rFonts w:ascii="Times New Roman" w:hAnsi="Times New Roman" w:cs="Times New Roman"/>
          <w:sz w:val="28"/>
          <w:szCs w:val="28"/>
        </w:rPr>
        <w:t>составов участковых комиссий, утвержденного постановлением</w:t>
      </w:r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Центральной избирательной</w:t>
      </w:r>
      <w:proofErr w:type="gramEnd"/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Российской Федерации от 5 декабря 2012 года № 152/1137-6 (далее – Порядок формирования резерва составов участковых комиссий), </w:t>
      </w:r>
      <w:r w:rsidRPr="00DC5AA5">
        <w:rPr>
          <w:rFonts w:ascii="Times New Roman" w:hAnsi="Times New Roman" w:cs="Times New Roman"/>
          <w:sz w:val="28"/>
          <w:szCs w:val="28"/>
        </w:rPr>
        <w:t>постановлением Избирательной комиссии Новгородской области от 11.04.2018 № </w:t>
      </w:r>
      <w:r w:rsidRPr="00DC5AA5">
        <w:rPr>
          <w:rFonts w:ascii="Times New Roman" w:hAnsi="Times New Roman" w:cs="Times New Roman"/>
          <w:color w:val="000000"/>
          <w:sz w:val="28"/>
          <w:szCs w:val="28"/>
        </w:rPr>
        <w:t>46/4-6</w:t>
      </w:r>
      <w:r w:rsidRPr="00DC5AA5">
        <w:rPr>
          <w:rFonts w:ascii="Times New Roman" w:hAnsi="Times New Roman" w:cs="Times New Roman"/>
          <w:sz w:val="28"/>
          <w:szCs w:val="28"/>
        </w:rPr>
        <w:t xml:space="preserve"> «О структуре резерва </w:t>
      </w:r>
      <w:r w:rsidRPr="00DC5AA5">
        <w:rPr>
          <w:rFonts w:ascii="Times New Roman" w:hAnsi="Times New Roman" w:cs="Times New Roman"/>
          <w:bCs/>
          <w:sz w:val="28"/>
          <w:szCs w:val="28"/>
        </w:rPr>
        <w:t xml:space="preserve">участковых комиссий Новгородской области, </w:t>
      </w:r>
      <w:r w:rsidRPr="00DC5AA5">
        <w:rPr>
          <w:rFonts w:ascii="Times New Roman" w:hAnsi="Times New Roman" w:cs="Times New Roman"/>
          <w:sz w:val="28"/>
          <w:szCs w:val="28"/>
        </w:rPr>
        <w:t>примерных формах решений территориальной избирательной комиссии о кандидатурах для зачисления в резерв составов участковых комиссий и исключения из резерва составов участковых комиссий»</w:t>
      </w:r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5AA5">
        <w:rPr>
          <w:rFonts w:ascii="Times New Roman" w:hAnsi="Times New Roman" w:cs="Times New Roman"/>
          <w:bCs/>
          <w:sz w:val="28"/>
          <w:szCs w:val="28"/>
        </w:rPr>
        <w:t>Избирательная комиссия Новгородской области объявляет</w:t>
      </w:r>
      <w:proofErr w:type="gramEnd"/>
      <w:r w:rsidRPr="00DC5AA5">
        <w:rPr>
          <w:rFonts w:ascii="Times New Roman" w:hAnsi="Times New Roman" w:cs="Times New Roman"/>
          <w:bCs/>
          <w:sz w:val="28"/>
          <w:szCs w:val="28"/>
        </w:rPr>
        <w:t xml:space="preserve"> сбор предложений для дополнительного </w:t>
      </w:r>
      <w:r w:rsidRPr="00DC5AA5">
        <w:rPr>
          <w:rFonts w:ascii="Times New Roman" w:hAnsi="Times New Roman" w:cs="Times New Roman"/>
          <w:sz w:val="28"/>
          <w:szCs w:val="28"/>
        </w:rPr>
        <w:t xml:space="preserve">зачисления в резерв составов участковых комиссий </w:t>
      </w:r>
      <w:r w:rsidRPr="00DC5AA5">
        <w:rPr>
          <w:rFonts w:ascii="Times New Roman" w:hAnsi="Times New Roman" w:cs="Times New Roman"/>
          <w:bCs/>
          <w:color w:val="000000"/>
          <w:sz w:val="28"/>
          <w:szCs w:val="28"/>
        </w:rPr>
        <w:t>Новгородской области</w:t>
      </w:r>
      <w:r w:rsidRPr="00DC5AA5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предложений, указанных в пункте 4 статьи 27 Федерального закона № 67-ФЗ, пункте 15 Порядка формирования резерва составов участковых комиссий.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Документы о выдвижении кандидатур, соответствующих требованиям, установленным пунктом 1 статьи 29 Федерального закона № 67-ФЗ, представляются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 19 июля 2024 года по 8</w:t>
      </w:r>
      <w:r w:rsidRPr="00DC5AA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C5AA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года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C5AA5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включительно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соответствующую территориальную избирательную комиссию (перечень ТИК прилагается).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Новгородской области от </w:t>
      </w:r>
      <w:r w:rsidRPr="00DC5AA5">
        <w:rPr>
          <w:rFonts w:ascii="Times New Roman" w:hAnsi="Times New Roman" w:cs="Times New Roman"/>
          <w:b w:val="0"/>
          <w:sz w:val="28"/>
          <w:szCs w:val="28"/>
        </w:rPr>
        <w:t>11.04.2018 № </w:t>
      </w:r>
      <w:r w:rsidRPr="00DC5AA5">
        <w:rPr>
          <w:rFonts w:ascii="Times New Roman" w:hAnsi="Times New Roman" w:cs="Times New Roman"/>
          <w:b w:val="0"/>
          <w:color w:val="000000"/>
          <w:sz w:val="28"/>
          <w:szCs w:val="28"/>
        </w:rPr>
        <w:t>46/4-6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0385E" w:rsidRPr="00B53AFC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Helvetica" w:hAnsi="Helvetica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Перечень и формы документов, необходимых при внесении предложений по кандидатурам в резерв 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составов участковых комиссий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определены в пункте 15 </w:t>
      </w:r>
      <w:r w:rsidRPr="00B53A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Порядка формирования резерва составов участковых комиссий и постановлении Избирательной комиссии Новгородской области от 16.03.2023 № 41/2-7 «О Перечне документов, представляемых в территориальную избирательную комиссию субъектами права внесения предложений по кандидатурам в составы участковых избирательных комиссий, резерв составов участковых комиссий Новгородской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  <w:proofErr w:type="gramEnd"/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внесении предложения (предложений) по кандидатуре (кандидатурам) для дополнительного зачисления в резерв составов участковых комиссий необходимо представить следующие документы.</w:t>
      </w:r>
    </w:p>
    <w:p w:rsidR="00E0385E" w:rsidRPr="00DC5AA5" w:rsidRDefault="00E0385E" w:rsidP="00E0385E">
      <w:pPr>
        <w:spacing w:line="400" w:lineRule="exact"/>
        <w:jc w:val="center"/>
        <w:outlineLvl w:val="0"/>
        <w:rPr>
          <w:b/>
          <w:sz w:val="16"/>
          <w:szCs w:val="16"/>
        </w:rPr>
      </w:pPr>
    </w:p>
    <w:p w:rsidR="00E0385E" w:rsidRPr="003A3A3C" w:rsidRDefault="00E0385E" w:rsidP="00E0385E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</w:t>
      </w:r>
      <w:r w:rsidRPr="003A3A3C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E0385E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</w:t>
      </w:r>
      <w:proofErr w:type="gramStart"/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Если предложение о кандидатурах в резерв составов участковых комиссий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</w:t>
      </w:r>
      <w:r w:rsidRPr="002A7A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– 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</w:t>
      </w:r>
      <w:r w:rsidRPr="002A7A7D">
        <w:rPr>
          <w:rFonts w:ascii="Times New Roman" w:hAnsi="Times New Roman" w:cs="Times New Roman"/>
          <w:b w:val="0"/>
          <w:sz w:val="28"/>
          <w:szCs w:val="28"/>
        </w:rPr>
        <w:t xml:space="preserve">оформленное </w:t>
      </w:r>
      <w:r w:rsidRPr="002A7A7D">
        <w:rPr>
          <w:rFonts w:ascii="Times New Roman" w:hAnsi="Times New Roman" w:cs="Times New Roman"/>
          <w:b w:val="0"/>
          <w:bCs w:val="0"/>
          <w:sz w:val="28"/>
          <w:szCs w:val="28"/>
        </w:rPr>
        <w:t>в письменном виде и</w:t>
      </w:r>
      <w:proofErr w:type="gramEnd"/>
      <w:r w:rsidRPr="002A7A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2A7A7D">
        <w:rPr>
          <w:rFonts w:ascii="Times New Roman" w:hAnsi="Times New Roman" w:cs="Times New Roman"/>
          <w:b w:val="0"/>
          <w:bCs w:val="0"/>
          <w:sz w:val="28"/>
          <w:szCs w:val="28"/>
        </w:rPr>
        <w:t>подписанное</w:t>
      </w:r>
      <w:proofErr w:type="gramEnd"/>
      <w:r w:rsidRPr="002A7A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уполномоченным лицом политической партии </w:t>
      </w:r>
      <w:r w:rsidRPr="002A7A7D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требованиями устава политической партии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0385E" w:rsidRPr="002A7A7D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3. </w:t>
      </w:r>
      <w:r w:rsidRPr="002A7A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Если предложение о кандидатура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</w:t>
      </w:r>
      <w:r w:rsidRPr="002A7A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резерв составов участковых комиссий</w:t>
      </w:r>
      <w:r w:rsidRPr="002A7A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E0385E" w:rsidRPr="003A3A3C" w:rsidRDefault="00E0385E" w:rsidP="00E0385E">
      <w:pPr>
        <w:spacing w:line="4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</w:t>
      </w:r>
      <w:proofErr w:type="gramStart"/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 общественного объединения, либо решение по этому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0385E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 Если предложение о кандидатурах в резерв составов участковых комиссий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E0385E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7777A1">
        <w:rPr>
          <w:rFonts w:ascii="Times New Roman" w:hAnsi="Times New Roman" w:cs="Times New Roman"/>
          <w:b w:val="0"/>
          <w:sz w:val="28"/>
          <w:szCs w:val="28"/>
        </w:rPr>
        <w:t xml:space="preserve">оформленное в </w:t>
      </w:r>
      <w:r w:rsidRPr="00777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письменном виде и подписанное уполномоченным лицом </w:t>
      </w:r>
      <w:r w:rsidRPr="007777A1">
        <w:rPr>
          <w:rFonts w:ascii="Times New Roman" w:hAnsi="Times New Roman" w:cs="Times New Roman"/>
          <w:b w:val="0"/>
          <w:sz w:val="28"/>
          <w:szCs w:val="28"/>
        </w:rPr>
        <w:t>общественного объединения</w:t>
      </w:r>
      <w:r w:rsidRPr="00777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уставом общественного объединения;</w:t>
      </w:r>
      <w:proofErr w:type="gramEnd"/>
    </w:p>
    <w:p w:rsidR="00E0385E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 органа, которому делегированы </w:t>
      </w:r>
      <w:r w:rsidRPr="007777A1">
        <w:rPr>
          <w:rFonts w:ascii="Times New Roman" w:hAnsi="Times New Roman" w:cs="Times New Roman"/>
          <w:b w:val="0"/>
          <w:sz w:val="28"/>
          <w:szCs w:val="28"/>
        </w:rPr>
        <w:t xml:space="preserve">указанные </w:t>
      </w: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полномочия, о внесении предложений в резерв составов участковых комиссий.</w:t>
      </w:r>
    </w:p>
    <w:p w:rsidR="00E0385E" w:rsidRPr="007777A1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77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 Если предложение по кандидатурам в резерв составов участковых комиссий 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E0385E" w:rsidRPr="003A3A3C" w:rsidRDefault="00E0385E" w:rsidP="00E0385E">
      <w:pPr>
        <w:autoSpaceDE w:val="0"/>
        <w:autoSpaceDN w:val="0"/>
        <w:adjustRightInd w:val="0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lastRenderedPageBreak/>
        <w:t>Для представительного органа муниципального образования</w:t>
      </w:r>
    </w:p>
    <w:p w:rsidR="00E0385E" w:rsidRPr="003A3A3C" w:rsidRDefault="00E0385E" w:rsidP="00E0385E">
      <w:pPr>
        <w:autoSpaceDE w:val="0"/>
        <w:autoSpaceDN w:val="0"/>
        <w:adjustRightInd w:val="0"/>
        <w:spacing w:line="40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3A3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внесении предложения о кандидатурах в резерв составов участковых комиссий.</w:t>
      </w:r>
    </w:p>
    <w:p w:rsidR="00E0385E" w:rsidRPr="003A3A3C" w:rsidRDefault="00E0385E" w:rsidP="00E0385E">
      <w:pPr>
        <w:autoSpaceDE w:val="0"/>
        <w:autoSpaceDN w:val="0"/>
        <w:adjustRightInd w:val="0"/>
        <w:spacing w:after="1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Для собраний избирателей</w:t>
      </w:r>
      <w:r w:rsidRPr="003A3A3C">
        <w:rPr>
          <w:rFonts w:ascii="Times New Roman" w:hAnsi="Times New Roman" w:cs="Times New Roman"/>
          <w:b/>
          <w:sz w:val="28"/>
          <w:szCs w:val="28"/>
        </w:rPr>
        <w:br/>
        <w:t>по месту жительства, работы, службы, учебы</w:t>
      </w:r>
    </w:p>
    <w:p w:rsidR="00E0385E" w:rsidRPr="003A3A3C" w:rsidRDefault="00E0385E" w:rsidP="00E0385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sz w:val="28"/>
          <w:szCs w:val="28"/>
        </w:rPr>
        <w:t>Протокол собрания избирателей по месту жительства, работы, службы, учебы о внесении предложения о кандидатурах в резерв составов участковых комиссий.</w:t>
      </w:r>
    </w:p>
    <w:p w:rsidR="00E0385E" w:rsidRPr="003A3A3C" w:rsidRDefault="00E0385E" w:rsidP="00E0385E">
      <w:pPr>
        <w:spacing w:after="12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Pr="00DC5A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85E" w:rsidRPr="00DC5AA5" w:rsidRDefault="00E0385E" w:rsidP="00E0385E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E0385E" w:rsidRDefault="00E0385E" w:rsidP="00E0385E">
      <w:pPr>
        <w:pStyle w:val="ConsPlusTitle"/>
        <w:widowControl/>
        <w:ind w:left="5954"/>
        <w:jc w:val="center"/>
        <w:rPr>
          <w:rFonts w:ascii="Times New Roman" w:hAnsi="Times New Roman" w:cs="Times New Roman"/>
          <w:b w:val="0"/>
          <w:bCs w:val="0"/>
          <w:color w:val="1E1D1E"/>
          <w:sz w:val="28"/>
        </w:rPr>
      </w:pPr>
      <w:r w:rsidRPr="00DC5AA5">
        <w:rPr>
          <w:rFonts w:ascii="Times New Roman" w:hAnsi="Times New Roman" w:cs="Times New Roman"/>
          <w:bCs w:val="0"/>
          <w:color w:val="000000"/>
          <w:sz w:val="28"/>
          <w:szCs w:val="28"/>
        </w:rPr>
        <w:t>Избирательная комиссия</w:t>
      </w:r>
      <w:r w:rsidRPr="00DC5AA5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Новгородской области</w:t>
      </w:r>
    </w:p>
    <w:p w:rsidR="00045D2A" w:rsidRDefault="00E0385E"/>
    <w:sectPr w:rsidR="00045D2A" w:rsidSect="00DF63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5E"/>
    <w:rsid w:val="00131620"/>
    <w:rsid w:val="00305857"/>
    <w:rsid w:val="00443DC7"/>
    <w:rsid w:val="00E0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38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038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E03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0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3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T_G_Arzhanova</dc:creator>
  <cp:lastModifiedBy>T_G_Arzhanova</cp:lastModifiedBy>
  <cp:revision>1</cp:revision>
  <dcterms:created xsi:type="dcterms:W3CDTF">2024-07-18T08:21:00Z</dcterms:created>
  <dcterms:modified xsi:type="dcterms:W3CDTF">2024-07-18T08:21:00Z</dcterms:modified>
</cp:coreProperties>
</file>